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A4763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18"/>
          <w:szCs w:val="18"/>
        </w:rPr>
      </w:pPr>
      <w:bookmarkStart w:id="0" w:name="_GoBack"/>
      <w:bookmarkEnd w:id="0"/>
      <w:r>
        <w:rPr>
          <w:rStyle w:val="a4"/>
          <w:rFonts w:ascii="Arial" w:hAnsi="Arial" w:cs="Arial"/>
          <w:color w:val="000000"/>
        </w:rPr>
        <w:t>Как организовать работу с микротравмами</w:t>
      </w:r>
    </w:p>
    <w:p w14:paraId="338160F4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3"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Организуйте рассмотрение и учет микротравм, чтобы на регулярной основе выявлять опасности и риски травмирования, снижать уровни профрисков и улучшать условия и охрану труда. Для этого </w:t>
      </w:r>
      <w:hyperlink r:id="rId4" w:anchor="/document/16/118831/dfaszcxssf/" w:history="1">
        <w:r>
          <w:rPr>
            <w:rStyle w:val="a5"/>
            <w:rFonts w:ascii="Arial" w:hAnsi="Arial" w:cs="Arial"/>
          </w:rPr>
          <w:t>назначьте работника, ответственного</w:t>
        </w:r>
      </w:hyperlink>
      <w:r>
        <w:rPr>
          <w:rFonts w:ascii="Arial" w:hAnsi="Arial" w:cs="Arial"/>
          <w:color w:val="000000"/>
        </w:rPr>
        <w:t> за рассмотрение и учет микротравм, </w:t>
      </w:r>
      <w:hyperlink r:id="rId5" w:anchor="/document/16/118831/dfasdv8e4v/" w:history="1">
        <w:r>
          <w:rPr>
            <w:rStyle w:val="a5"/>
            <w:rFonts w:ascii="Arial" w:hAnsi="Arial" w:cs="Arial"/>
          </w:rPr>
          <w:t>разработайте документы</w:t>
        </w:r>
      </w:hyperlink>
      <w:r>
        <w:rPr>
          <w:rFonts w:ascii="Arial" w:hAnsi="Arial" w:cs="Arial"/>
          <w:color w:val="000000"/>
        </w:rPr>
        <w:t> для процедуры. </w:t>
      </w:r>
      <w:hyperlink r:id="rId6" w:anchor="/document/16/118831/dfasbdfgzk/" w:history="1">
        <w:r>
          <w:rPr>
            <w:rStyle w:val="a5"/>
            <w:rFonts w:ascii="Arial" w:hAnsi="Arial" w:cs="Arial"/>
          </w:rPr>
          <w:t>В рекомендации – семь шагов</w:t>
        </w:r>
      </w:hyperlink>
      <w:r>
        <w:rPr>
          <w:rFonts w:ascii="Arial" w:hAnsi="Arial" w:cs="Arial"/>
          <w:color w:val="000000"/>
        </w:rPr>
        <w:t>, если работник сообщил о микротравме.</w:t>
      </w:r>
    </w:p>
    <w:p w14:paraId="05714F21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С 1 марта работодателя обязали вести учет и рассматривать обстоятельства и причины, которые привели к микротравмам работников и других лиц, участвующих в производственной деятельности работодателя (</w:t>
      </w:r>
      <w:hyperlink r:id="rId7" w:anchor="/document/99/901807664/XA00MB62MS/" w:tgtFrame="_self" w:history="1">
        <w:r>
          <w:rPr>
            <w:rStyle w:val="a4"/>
            <w:rFonts w:ascii="Arial" w:hAnsi="Arial" w:cs="Arial"/>
          </w:rPr>
          <w:t>ст. 226 ТК</w:t>
        </w:r>
      </w:hyperlink>
      <w:r>
        <w:rPr>
          <w:rFonts w:ascii="Arial" w:hAnsi="Arial" w:cs="Arial"/>
          <w:color w:val="000000"/>
        </w:rPr>
        <w:t>). Процедура включает сбор и регистрацию информации о микротравмах, о которых работник сам сообщил руководителю или медработнику. </w:t>
      </w:r>
    </w:p>
    <w:p w14:paraId="66F55A56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Рекомендации по учету микротравм работников утвердили </w:t>
      </w:r>
      <w:hyperlink r:id="rId8" w:anchor="/document/99/608935227/" w:tgtFrame="_self" w:history="1">
        <w:r>
          <w:rPr>
            <w:rStyle w:val="a4"/>
            <w:rFonts w:ascii="Arial" w:hAnsi="Arial" w:cs="Arial"/>
          </w:rPr>
          <w:t>приказом Минтруда от 15.09.2021 № 632н</w:t>
        </w:r>
      </w:hyperlink>
      <w:r>
        <w:rPr>
          <w:rStyle w:val="a4"/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 Работодатель не обязан учитывать рекомендации, но обязан организовать работу с микротравмами, о которых сообщают работники.</w:t>
      </w:r>
    </w:p>
    <w:p w14:paraId="6D977BA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Что относится к микротравмам</w:t>
      </w:r>
    </w:p>
    <w:p w14:paraId="67703492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К </w:t>
      </w:r>
      <w:hyperlink r:id="rId9" w:anchor="/document/113/9002/" w:tgtFrame="_self" w:history="1">
        <w:r>
          <w:rPr>
            <w:rStyle w:val="a5"/>
            <w:rFonts w:ascii="Arial" w:hAnsi="Arial" w:cs="Arial"/>
          </w:rPr>
          <w:t>микротравмам</w:t>
        </w:r>
      </w:hyperlink>
      <w:r>
        <w:rPr>
          <w:rFonts w:ascii="Arial" w:hAnsi="Arial" w:cs="Arial"/>
          <w:color w:val="000000"/>
        </w:rPr>
        <w:t> относятся легкие повреждения, например, ссадины, кровоподтеки, ушибы мягких тканей, поверхностные раны, которые работники получили на рабочем месте (</w:t>
      </w:r>
      <w:hyperlink r:id="rId10" w:anchor="/document/99/901807664/XA00MB62MS/" w:tgtFrame="_self" w:history="1">
        <w:r>
          <w:rPr>
            <w:rStyle w:val="a5"/>
            <w:rFonts w:ascii="Arial" w:hAnsi="Arial" w:cs="Arial"/>
          </w:rPr>
          <w:t>ст. 226 ТК</w:t>
        </w:r>
      </w:hyperlink>
      <w:r>
        <w:rPr>
          <w:rFonts w:ascii="Arial" w:hAnsi="Arial" w:cs="Arial"/>
          <w:color w:val="000000"/>
        </w:rPr>
        <w:t>). При этом микротравмы не приводят к временной потере трудоспособности работника. То есть работнику не нужно уходить на больничный, чтобы восстановить здоровье.</w:t>
      </w:r>
    </w:p>
    <w:p w14:paraId="569DC324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Несчастный случай подразумевает необходимость перевода пострадавших работников на другую работу, временную или стойкую утрату трудоспособности, смерть пострадавших (</w:t>
      </w:r>
      <w:hyperlink r:id="rId11" w:anchor="/document/99/901713539/ZAP2ATO3JP/" w:tgtFrame="_self" w:history="1">
        <w:r>
          <w:rPr>
            <w:rStyle w:val="a5"/>
            <w:rFonts w:ascii="Arial" w:hAnsi="Arial" w:cs="Arial"/>
          </w:rPr>
          <w:t>ч. 9 ст. 3 Закона № 125-ФЗ</w:t>
        </w:r>
      </w:hyperlink>
      <w:r>
        <w:rPr>
          <w:rFonts w:ascii="Arial" w:hAnsi="Arial" w:cs="Arial"/>
          <w:color w:val="000000"/>
        </w:rPr>
        <w:t>). Например, при поражении электрическим током, отравлении или тепловом ударе пострадавший работник не может продолжить выполнять свои должностные обязанности. Работнику выдается больничный, к трудовым обязанностям он может приступить только после восстановления здоровья.</w:t>
      </w:r>
    </w:p>
    <w:p w14:paraId="7D5430D0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Кого назначить ответственным</w:t>
      </w:r>
    </w:p>
    <w:p w14:paraId="21E19B9E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Назначьте ответственным за рассмотрение и учет микротравм (далее – ответственный работник) специалиста по охране труда или другого работника из числа руководителей или специалистов.</w:t>
      </w:r>
    </w:p>
    <w:p w14:paraId="671BC03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Какие документы</w:t>
      </w:r>
    </w:p>
    <w:p w14:paraId="2EA999D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Чтобы организовать рассмотрение и учет микротравм, разработайте положение о рассмотрении микротравм, справку и журнал учета, назначьте приказом ответственного за организацию процедуры</w:t>
      </w:r>
    </w:p>
    <w:p w14:paraId="3B802FEA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Работодатель самостоятельно учитывает и рассматривает микротравмы (</w:t>
      </w:r>
      <w:hyperlink r:id="rId12" w:anchor="/document/99/901807664/ZAP2QG03MQ/" w:tgtFrame="_self" w:history="1">
        <w:r>
          <w:rPr>
            <w:rStyle w:val="a5"/>
            <w:rFonts w:ascii="Arial" w:hAnsi="Arial" w:cs="Arial"/>
          </w:rPr>
          <w:t>ч. 2 ст. 226 ТК</w:t>
        </w:r>
      </w:hyperlink>
      <w:r>
        <w:rPr>
          <w:rFonts w:ascii="Arial" w:hAnsi="Arial" w:cs="Arial"/>
          <w:color w:val="000000"/>
        </w:rPr>
        <w:t>). Для этого разрабатывают положению о рассмотрении микротравм работников. При составлении документа учитывают особенности организационной структуры и специфику производства. Ознакомьте работников с положением.</w:t>
      </w:r>
    </w:p>
    <w:p w14:paraId="3FBAF72E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Издайте приказ о рассмотрении и учете микротравм работников организации. Приказом назначьте ответственного работника и введите в действие положение об особенностях рассмотрения и учета микротравм.</w:t>
      </w:r>
    </w:p>
    <w:p w14:paraId="02A96B0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Результаты рассмотрения микротравмы заносят в справку о рассмотрении обстоятельств и причин микротравмы.</w:t>
      </w:r>
    </w:p>
    <w:p w14:paraId="387B40FC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В справке указывают личные данные пострадавшего, дату и место получения микротравмы, какую оказали первую помощь, на сколько часов освободили от работы, обстоятельства происшествия, причины микротравмы и предложения по устранению причин. Если работник обращался за медпомощью, то записывают дату и время обращения за медпомощью, наименование медучреждения, какие повреждения здоровья у пострадавшего. Разместите бланк справки в доступном месте в электронном или бумажном виде.</w:t>
      </w:r>
    </w:p>
    <w:p w14:paraId="6B78D6C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Регистрируют микротравмы в журнале учета микротравм работников.</w:t>
      </w:r>
    </w:p>
    <w:p w14:paraId="15D51306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В журнале указывают личные данные пострадавшего, место, время, обстоятельства получения микротравмы, ее причины, время обращения в медпункт и диагноз, принятые меры, последствия микроповреждения, Ф. И. О. и должность ответственного лица. Рекомендация: хранить справку и журнал не менее 1 года</w:t>
      </w:r>
    </w:p>
    <w:p w14:paraId="2A478899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В </w:t>
      </w:r>
      <w:hyperlink r:id="rId13" w:anchor="/document/99/608935227/ZAP28RG3EO/" w:tgtFrame="_self" w:history="1">
        <w:r>
          <w:rPr>
            <w:rStyle w:val="a5"/>
            <w:rFonts w:ascii="Arial" w:hAnsi="Arial" w:cs="Arial"/>
          </w:rPr>
          <w:t>Рекомендациях</w:t>
        </w:r>
      </w:hyperlink>
      <w:r>
        <w:rPr>
          <w:rFonts w:ascii="Arial" w:hAnsi="Arial" w:cs="Arial"/>
          <w:color w:val="000000"/>
        </w:rPr>
        <w:t> нет требований к количеству журналов учета микротравм. Руководитель организации решает самостоятельно, сколько журналов вести, исходя из специфики компании. Например, в организации с большой численностью можно завести журнал для учета микротравм работников в каждом структурном подразделении.</w:t>
      </w:r>
    </w:p>
    <w:p w14:paraId="155030FF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Допускается ведение журнала в электронном виде с использованием электронной подписи.</w:t>
      </w:r>
    </w:p>
    <w:p w14:paraId="40747131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Работодатель не обязан строго соблюдать форму, которая предложена в </w:t>
      </w:r>
      <w:hyperlink r:id="rId14" w:anchor="/document/99/608935227/ZAP28RG3EO/" w:tgtFrame="_self" w:history="1">
        <w:r>
          <w:rPr>
            <w:rStyle w:val="a5"/>
            <w:rFonts w:ascii="Arial" w:hAnsi="Arial" w:cs="Arial"/>
          </w:rPr>
          <w:t>Рекомендациях</w:t>
        </w:r>
      </w:hyperlink>
      <w:r>
        <w:rPr>
          <w:rFonts w:ascii="Arial" w:hAnsi="Arial" w:cs="Arial"/>
          <w:color w:val="000000"/>
        </w:rPr>
        <w:t>, но если утвердите ее, избавите себя от разногласий с инспектором ГИТ.</w:t>
      </w:r>
    </w:p>
    <w:p w14:paraId="4E273460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6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Какую дату ставить датой начала журнала учета микротравм</w:t>
      </w:r>
    </w:p>
    <w:p w14:paraId="51111CF8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Дата начала ведения журнала </w:t>
      </w:r>
      <w:hyperlink r:id="rId15" w:anchor="/document/99/608935227/ZAP28RG3EO/" w:tgtFrame="_self" w:history="1">
        <w:r>
          <w:rPr>
            <w:rStyle w:val="a5"/>
            <w:rFonts w:ascii="Arial" w:hAnsi="Arial" w:cs="Arial"/>
          </w:rPr>
          <w:t>Рекомендациями</w:t>
        </w:r>
      </w:hyperlink>
      <w:r>
        <w:rPr>
          <w:rFonts w:ascii="Arial" w:hAnsi="Arial" w:cs="Arial"/>
          <w:color w:val="000000"/>
        </w:rPr>
        <w:t> не установлена. Начните вести </w:t>
      </w:r>
      <w:hyperlink r:id="rId16" w:anchor="/document/118/92151/" w:tgtFrame="_self" w:history="1">
        <w:r>
          <w:rPr>
            <w:rStyle w:val="a5"/>
            <w:rFonts w:ascii="Arial" w:hAnsi="Arial" w:cs="Arial"/>
          </w:rPr>
          <w:t>журнал</w:t>
        </w:r>
      </w:hyperlink>
      <w:r>
        <w:rPr>
          <w:rFonts w:ascii="Arial" w:hAnsi="Arial" w:cs="Arial"/>
          <w:color w:val="000000"/>
        </w:rPr>
        <w:t> с даты получения работником микротравмы.</w:t>
      </w:r>
    </w:p>
    <w:p w14:paraId="1891249F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Какая процедура</w:t>
      </w:r>
    </w:p>
    <w:p w14:paraId="1336A907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Используйте пошаговый алгоритм, чтобы организовать процедуру сбора и регистрации информации о микротравмах.</w:t>
      </w:r>
    </w:p>
    <w:p w14:paraId="32FF2D0A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1. Работник сообщает о микротравме</w:t>
      </w:r>
    </w:p>
    <w:p w14:paraId="026F94A8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Учитывайте микротравмы, о которых пострадавший работник сообщил самостоятельно любому руководителю или медицинскому работнику организации (далее – оповещаемое лицо).</w:t>
      </w:r>
    </w:p>
    <w:p w14:paraId="0DA6911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Работодатель рассматривает миктротравму в том случае, если работник сам сообщил о ней руководителю или медработнику (</w:t>
      </w:r>
      <w:hyperlink r:id="rId17" w:anchor="/document/99/901807664/ZAP2DA83H5/" w:tgtFrame="_self" w:history="1">
        <w:r>
          <w:rPr>
            <w:rStyle w:val="a5"/>
            <w:rFonts w:ascii="Arial" w:hAnsi="Arial" w:cs="Arial"/>
          </w:rPr>
          <w:t>ч. 3 ст. 226 ТК</w:t>
        </w:r>
      </w:hyperlink>
      <w:r>
        <w:rPr>
          <w:rFonts w:ascii="Arial" w:hAnsi="Arial" w:cs="Arial"/>
          <w:color w:val="000000"/>
        </w:rPr>
        <w:t>). Порядок сообщения руководитель организации закрепляет в ЛНА, например, работник сообщает устно.</w:t>
      </w:r>
    </w:p>
    <w:p w14:paraId="4A19626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2. Оказать первую или медицинскую помощь пострадавшему работнику</w:t>
      </w:r>
    </w:p>
    <w:p w14:paraId="4AE0A644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Оповещаемое лицо оказывает пострадавшему первую помощь. Если в организации есть медпункт, то медработник оказывает пострадавшему медпомощь. Как оказывать первую помощь, </w:t>
      </w:r>
      <w:hyperlink r:id="rId18" w:anchor="/document/16/118953/" w:tgtFrame="_self" w:history="1">
        <w:r>
          <w:rPr>
            <w:rStyle w:val="a5"/>
            <w:rFonts w:ascii="Arial" w:hAnsi="Arial" w:cs="Arial"/>
          </w:rPr>
          <w:t>читайте в материале Системы</w:t>
        </w:r>
      </w:hyperlink>
      <w:r>
        <w:rPr>
          <w:rFonts w:ascii="Arial" w:hAnsi="Arial" w:cs="Arial"/>
          <w:color w:val="000000"/>
        </w:rPr>
        <w:t>. При этом ответственный работник контролирует, чтобы работнику оказали помощь.</w:t>
      </w:r>
    </w:p>
    <w:p w14:paraId="275755EC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3. Сообщить о микротравме ответственному</w:t>
      </w:r>
    </w:p>
    <w:p w14:paraId="5C8802B1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Оповещаемое лицо сообщает о микротравмах ответственному за расследование и учет микротравм, например, уполномоченному по вопросам охраны труда. Информация включает:</w:t>
      </w:r>
    </w:p>
    <w:p w14:paraId="68DC36D6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6"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- Ф. И. О. пострадавшего работника, должность, структурное подразделение;</w:t>
      </w:r>
    </w:p>
    <w:p w14:paraId="63309737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6"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- место, дату и время получения работником микротравмы;</w:t>
      </w:r>
    </w:p>
    <w:p w14:paraId="5A261343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6"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- описание микротравмы;</w:t>
      </w:r>
    </w:p>
    <w:p w14:paraId="01BDDBF8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6"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- краткую информацию об обстоятельствах получения микротравмы.</w:t>
      </w:r>
    </w:p>
    <w:p w14:paraId="6BAC5869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4. Сообщить о микротравме специалисту по охране труда</w:t>
      </w:r>
    </w:p>
    <w:p w14:paraId="4DC8B180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Оповещаемое лицо немедленно сообщает специалисту по охране труда о микротравме работника. Для этого использует любой способ, например, по телефону или лично.</w:t>
      </w:r>
    </w:p>
    <w:p w14:paraId="274E67EC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5. Рассмотреть обстоятельства и причины микротравмы</w:t>
      </w:r>
    </w:p>
    <w:p w14:paraId="05F59C3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Как только ответственный работник узнал о микротравме работника, он начинает изучать обстоятельства и выясняет причины ее возникновения в течение трех календарных дней.</w:t>
      </w:r>
    </w:p>
    <w:p w14:paraId="3A765E11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lastRenderedPageBreak/>
        <w:t>Допустимо продлить срок рассмотрения микротравмы на два календарных дня, например, если пострадавший работник не успел дать объяснения.</w:t>
      </w:r>
    </w:p>
    <w:p w14:paraId="6A03909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Ответственный работник запрашивает у пострадавшего объяснения и проводит осмотр места происшествия. Если необходимо, привлекает оповещаемое лицо и руководителя структурного подразделения, чтобы выяснить причины микротравмы, проводит опрос очевидцев.</w:t>
      </w:r>
    </w:p>
    <w:p w14:paraId="25CE9F3D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Пострадавший работник может участвовать в расследовании микротравмы.</w:t>
      </w:r>
    </w:p>
    <w:p w14:paraId="02BFAB59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6. Оформить документы</w:t>
      </w:r>
    </w:p>
    <w:p w14:paraId="0E1D340D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Ответственный работник после рассмотрения микротравмы составляет справку и регистрирует микротравму в журнале.</w:t>
      </w:r>
    </w:p>
    <w:p w14:paraId="11628B7A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right="6"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Шаг 7. Разработать мероприятия по устранению причин микротравмы</w:t>
      </w:r>
    </w:p>
    <w:p w14:paraId="0C8D8D02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Ответственный работник после рассмотрения микротравмы разрабатывает мероприятия по устранению причин, которые привели к микротравме. Для этого он привлекает руководителя структурного подразделения, где работает пострадавший.</w:t>
      </w:r>
    </w:p>
    <w:p w14:paraId="2D67365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Чтобы разработать мероприятия:</w:t>
      </w:r>
    </w:p>
    <w:p w14:paraId="6B9D1679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hanging="36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1. Учтите физическое состояние работника и обстоятельства, при которых он получил микротравму, в том числе условия труда и приемы работы.</w:t>
      </w:r>
    </w:p>
    <w:p w14:paraId="047422DC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hanging="36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2. Изучите, какое оборудование, инструменты, материалы и сырье использовал работник.</w:t>
      </w:r>
    </w:p>
    <w:p w14:paraId="766A11FC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hanging="36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3. Проанализируйте, возможны ли схожие ситуации на этом и других рабочих местах.</w:t>
      </w:r>
    </w:p>
    <w:p w14:paraId="5E40D600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hanging="360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4.Выявите организационные недостатки в функционировании СУОТ, которые привели к микротравме.</w:t>
      </w:r>
    </w:p>
    <w:p w14:paraId="785E95BD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Обязательно ли вести учет микротравм</w:t>
      </w:r>
    </w:p>
    <w:p w14:paraId="5FA36866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Работодатель обязан вести учет и рассматривать обстоятельства и причины, которые привели к микротравмам работников и других лиц, участвующих в производственной деятельности работодателя (</w:t>
      </w:r>
      <w:hyperlink r:id="rId19" w:anchor="/document/99/901807664/XA00MB62MS/" w:tgtFrame="_self" w:history="1">
        <w:r>
          <w:rPr>
            <w:rStyle w:val="a5"/>
            <w:rFonts w:ascii="Arial" w:hAnsi="Arial" w:cs="Arial"/>
          </w:rPr>
          <w:t>ст. 226 ТК</w:t>
        </w:r>
      </w:hyperlink>
      <w:r>
        <w:rPr>
          <w:rFonts w:ascii="Arial" w:hAnsi="Arial" w:cs="Arial"/>
          <w:color w:val="000000"/>
        </w:rPr>
        <w:t>). Учитывайте микротравмы, о которых пострадавший работник сообщил самостоятельно любому руководителю или медицинскому работнику организации.</w:t>
      </w:r>
    </w:p>
    <w:p w14:paraId="1AE8EAE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Нужно ли оповещать госорганы о получении работником микротравмы</w:t>
      </w:r>
    </w:p>
    <w:p w14:paraId="748824DC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Нет, не нужно. Работодатель самостоятельно осуществляет учет и рассмотрение обстоятельств и причин, приведших к возникновению микротравм работников (</w:t>
      </w:r>
      <w:hyperlink r:id="rId20" w:anchor="/document/99/901807664/ZAP2QG03MQ/" w:tgtFrame="_self" w:history="1">
        <w:r>
          <w:rPr>
            <w:rStyle w:val="a5"/>
            <w:rFonts w:ascii="Arial" w:hAnsi="Arial" w:cs="Arial"/>
          </w:rPr>
          <w:t>ч. 2 ст. 226 ТК</w:t>
        </w:r>
      </w:hyperlink>
      <w:r>
        <w:rPr>
          <w:rFonts w:ascii="Arial" w:hAnsi="Arial" w:cs="Arial"/>
          <w:color w:val="000000"/>
        </w:rPr>
        <w:t>).</w:t>
      </w:r>
    </w:p>
    <w:p w14:paraId="25FB0BAD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Извещать и отчитываться о получении микротравмы работником не нужно. Оповещать уполномоченные государственные органы необходимо только при несчастном случае (</w:t>
      </w:r>
      <w:hyperlink r:id="rId21" w:anchor="/document/99/901807664/ZAP2V603MF/" w:tgtFrame="_self" w:history="1">
        <w:r>
          <w:rPr>
            <w:rStyle w:val="a5"/>
            <w:rFonts w:ascii="Arial" w:hAnsi="Arial" w:cs="Arial"/>
          </w:rPr>
          <w:t>ч. 4 ст. 228 ТК</w:t>
        </w:r>
      </w:hyperlink>
      <w:r>
        <w:rPr>
          <w:rFonts w:ascii="Arial" w:hAnsi="Arial" w:cs="Arial"/>
          <w:color w:val="000000"/>
        </w:rPr>
        <w:t>).</w:t>
      </w:r>
    </w:p>
    <w:p w14:paraId="2AFBBA26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rFonts w:ascii="Arial" w:hAnsi="Arial" w:cs="Arial"/>
          <w:color w:val="000000"/>
        </w:rPr>
        <w:t>Обязан ли работник сообщать о микротравме</w:t>
      </w:r>
    </w:p>
    <w:p w14:paraId="16211687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Нет, такая обязанность не закреплена в ТК. Сотруднику рекомендуется сообщать о легких повреждениях любому руководителю или медицинскому работнику. Это указано в </w:t>
      </w:r>
      <w:hyperlink r:id="rId22" w:anchor="/document/99/608935227/XA00M5Q2MD/" w:tgtFrame="_self" w:history="1">
        <w:r>
          <w:rPr>
            <w:rStyle w:val="a5"/>
            <w:rFonts w:ascii="Arial" w:hAnsi="Arial" w:cs="Arial"/>
          </w:rPr>
          <w:t>пункте 5 Рекомендаций</w:t>
        </w:r>
      </w:hyperlink>
      <w:r>
        <w:rPr>
          <w:rFonts w:ascii="Arial" w:hAnsi="Arial" w:cs="Arial"/>
          <w:color w:val="000000"/>
        </w:rPr>
        <w:t>. Но если работодатель закрепит обязанность сообщать о микротравме в ЛНА, то для работника такое требование станет обязательным.</w:t>
      </w:r>
    </w:p>
    <w:p w14:paraId="0E6A00E7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000000"/>
        </w:rPr>
        <w:t>Чтобы обеспечить своевременное рассмотрение и учет микротравм, расскажите работникам, что им делать при получении легких повреждений. Для этого во время первичного или повторного инструктажа расскажите о действиях работника, если с ним произошла микротравма. Также разместите </w:t>
      </w:r>
      <w:hyperlink r:id="rId23" w:anchor="/document/16/118831/dfasfgwbyt/" w:tgtFrame="_self" w:history="1">
        <w:r>
          <w:rPr>
            <w:rStyle w:val="a5"/>
            <w:rFonts w:ascii="Arial" w:hAnsi="Arial" w:cs="Arial"/>
          </w:rPr>
          <w:t>памятку</w:t>
        </w:r>
      </w:hyperlink>
      <w:r>
        <w:rPr>
          <w:rFonts w:ascii="Arial" w:hAnsi="Arial" w:cs="Arial"/>
          <w:color w:val="000000"/>
        </w:rPr>
        <w:t> о действиях при получении травмы на стенде по охране труда или выдайте каждому работнику.</w:t>
      </w:r>
    </w:p>
    <w:p w14:paraId="13B158D1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55555"/>
          <w:sz w:val="18"/>
          <w:szCs w:val="18"/>
        </w:rPr>
      </w:pPr>
      <w:hyperlink r:id="rId24" w:anchor="/document/16/118831/dfasfgwbyt/" w:tgtFrame="_self" w:history="1">
        <w:r>
          <w:rPr>
            <w:rStyle w:val="a4"/>
            <w:rFonts w:ascii="Arial" w:hAnsi="Arial" w:cs="Arial"/>
          </w:rPr>
          <w:t>Что грозит работодателю</w:t>
        </w:r>
      </w:hyperlink>
    </w:p>
    <w:p w14:paraId="15A8F490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326"/>
        <w:jc w:val="both"/>
        <w:rPr>
          <w:rFonts w:ascii="Arial" w:hAnsi="Arial" w:cs="Arial"/>
          <w:color w:val="555555"/>
          <w:sz w:val="18"/>
          <w:szCs w:val="18"/>
        </w:rPr>
      </w:pPr>
      <w:hyperlink r:id="rId25" w:anchor="/document/16/118831/dfasfgwbyt/" w:tgtFrame="_self" w:history="1">
        <w:r>
          <w:rPr>
            <w:rStyle w:val="a5"/>
            <w:rFonts w:ascii="Arial" w:hAnsi="Arial" w:cs="Arial"/>
          </w:rPr>
          <w:t>Работодателю грозит ответственность по пункту 1 статьи 5.27.1 КоАП, если не организовать работу с микротравмами. ГИТ может выписать административный штраф:</w:t>
        </w:r>
      </w:hyperlink>
    </w:p>
    <w:p w14:paraId="0DBAF95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hanging="360"/>
        <w:rPr>
          <w:rFonts w:ascii="Arial" w:hAnsi="Arial" w:cs="Arial"/>
          <w:color w:val="555555"/>
          <w:sz w:val="18"/>
          <w:szCs w:val="18"/>
        </w:rPr>
      </w:pPr>
      <w:hyperlink r:id="rId26" w:anchor="/document/99/901807667/XA00MHM2OG/" w:tgtFrame="_self" w:history="1">
        <w:r>
          <w:rPr>
            <w:rStyle w:val="a5"/>
            <w:rFonts w:ascii="Arial" w:hAnsi="Arial" w:cs="Arial"/>
          </w:rPr>
          <w:t>· на должностных лиц – от 2000 до 5000 руб.;</w:t>
        </w:r>
      </w:hyperlink>
    </w:p>
    <w:p w14:paraId="58FCBEA5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hanging="360"/>
        <w:rPr>
          <w:rFonts w:ascii="Arial" w:hAnsi="Arial" w:cs="Arial"/>
          <w:color w:val="555555"/>
          <w:sz w:val="18"/>
          <w:szCs w:val="18"/>
        </w:rPr>
      </w:pPr>
      <w:hyperlink r:id="rId27" w:anchor="/document/99/901807667/XA00MHM2OG/" w:tgtFrame="_self" w:history="1">
        <w:r>
          <w:rPr>
            <w:rStyle w:val="a5"/>
            <w:rFonts w:ascii="Arial" w:hAnsi="Arial" w:cs="Arial"/>
          </w:rPr>
          <w:t>· ИП – от 2000 до 5000 руб.;</w:t>
        </w:r>
      </w:hyperlink>
    </w:p>
    <w:p w14:paraId="732AAEAF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left="686" w:right="3" w:hanging="360"/>
        <w:rPr>
          <w:rFonts w:ascii="Arial" w:hAnsi="Arial" w:cs="Arial"/>
          <w:color w:val="555555"/>
          <w:sz w:val="18"/>
          <w:szCs w:val="18"/>
        </w:rPr>
      </w:pPr>
      <w:hyperlink r:id="rId28" w:anchor="/document/99/901807667/XA00MHM2OG/" w:tgtFrame="_self" w:history="1">
        <w:r>
          <w:rPr>
            <w:rStyle w:val="a5"/>
            <w:rFonts w:ascii="Arial" w:hAnsi="Arial" w:cs="Arial"/>
          </w:rPr>
          <w:t>· юридических лиц – от 50 000 до 80 000 руб.</w:t>
        </w:r>
      </w:hyperlink>
    </w:p>
    <w:p w14:paraId="477C5B3F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326"/>
        <w:jc w:val="both"/>
        <w:rPr>
          <w:rFonts w:ascii="Arial" w:hAnsi="Arial" w:cs="Arial"/>
          <w:color w:val="555555"/>
          <w:sz w:val="18"/>
          <w:szCs w:val="18"/>
        </w:rPr>
      </w:pPr>
      <w:hyperlink r:id="rId29" w:history="1">
        <w:r>
          <w:rPr>
            <w:rStyle w:val="a5"/>
            <w:rFonts w:ascii="Arial" w:hAnsi="Arial" w:cs="Arial"/>
          </w:rPr>
          <w:t>© Материал из Справочной системы «Охрана труда»</w:t>
        </w:r>
      </w:hyperlink>
    </w:p>
    <w:p w14:paraId="08C55A7B" w14:textId="77777777" w:rsidR="00364BA6" w:rsidRDefault="00364BA6" w:rsidP="00364BA6">
      <w:pPr>
        <w:pStyle w:val="a3"/>
        <w:shd w:val="clear" w:color="auto" w:fill="FFFFFF"/>
        <w:spacing w:before="0" w:beforeAutospacing="0" w:after="0" w:afterAutospacing="0"/>
        <w:ind w:firstLine="326"/>
        <w:jc w:val="both"/>
        <w:rPr>
          <w:rFonts w:ascii="Arial" w:hAnsi="Arial" w:cs="Arial"/>
          <w:color w:val="555555"/>
          <w:sz w:val="18"/>
          <w:szCs w:val="18"/>
        </w:rPr>
      </w:pPr>
      <w:hyperlink r:id="rId30" w:history="1">
        <w:r>
          <w:rPr>
            <w:rStyle w:val="a5"/>
            <w:rFonts w:ascii="Arial" w:hAnsi="Arial" w:cs="Arial"/>
          </w:rPr>
          <w:t>https://vip.1otruda.ru</w:t>
        </w:r>
      </w:hyperlink>
    </w:p>
    <w:p w14:paraId="45A9596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89"/>
    <w:rsid w:val="00364BA6"/>
    <w:rsid w:val="006C0B77"/>
    <w:rsid w:val="008242FF"/>
    <w:rsid w:val="00870751"/>
    <w:rsid w:val="00922C48"/>
    <w:rsid w:val="00B915B7"/>
    <w:rsid w:val="00D61E8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7CC67-98DB-4B44-A206-C4F32927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B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4BA6"/>
    <w:rPr>
      <w:b/>
      <w:bCs/>
    </w:rPr>
  </w:style>
  <w:style w:type="character" w:styleId="a5">
    <w:name w:val="Hyperlink"/>
    <w:basedOn w:val="a0"/>
    <w:uiPriority w:val="99"/>
    <w:semiHidden/>
    <w:unhideWhenUsed/>
    <w:rsid w:val="00364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truda.ru/" TargetMode="External"/><Relationship Id="rId13" Type="http://schemas.openxmlformats.org/officeDocument/2006/relationships/hyperlink" Target="https://vip.1otruda.ru/" TargetMode="External"/><Relationship Id="rId18" Type="http://schemas.openxmlformats.org/officeDocument/2006/relationships/hyperlink" Target="https://vip.1otruda.ru/" TargetMode="External"/><Relationship Id="rId26" Type="http://schemas.openxmlformats.org/officeDocument/2006/relationships/hyperlink" Target="https://vip.1otrud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truda.ru/" TargetMode="External"/><Relationship Id="rId7" Type="http://schemas.openxmlformats.org/officeDocument/2006/relationships/hyperlink" Target="https://vip.1otruda.ru/" TargetMode="External"/><Relationship Id="rId12" Type="http://schemas.openxmlformats.org/officeDocument/2006/relationships/hyperlink" Target="https://vip.1otruda.ru/" TargetMode="External"/><Relationship Id="rId17" Type="http://schemas.openxmlformats.org/officeDocument/2006/relationships/hyperlink" Target="https://vip.1otruda.ru/" TargetMode="External"/><Relationship Id="rId25" Type="http://schemas.openxmlformats.org/officeDocument/2006/relationships/hyperlink" Target="https://vip.1otrud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truda.ru/" TargetMode="External"/><Relationship Id="rId20" Type="http://schemas.openxmlformats.org/officeDocument/2006/relationships/hyperlink" Target="https://vip.1otruda.ru/" TargetMode="External"/><Relationship Id="rId29" Type="http://schemas.openxmlformats.org/officeDocument/2006/relationships/hyperlink" Target="file:///Z:\Darky\%D0%AF%D1%80%D0%B8%D0%BD%D0%BE%D0%B2%D1%81%D0%BA%D0%B8%D0%B9\%C2%A9%20%D0%9C%D0%B0%D1%82%D0%B5%D1%80%D0%B8%D0%B0%D0%BB%20%D0%B8%D0%B7%20%D0%A1%D0%BF%D1%80%D0%B0%D0%B2%D0%BE%D1%87%D0%BD%D0%BE%D0%B9%20%D1%81%D0%B8%D1%81%D1%82%D0%B5%D0%BC%D1%8B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truda.ru/" TargetMode="External"/><Relationship Id="rId11" Type="http://schemas.openxmlformats.org/officeDocument/2006/relationships/hyperlink" Target="https://vip.1otruda.ru/" TargetMode="External"/><Relationship Id="rId24" Type="http://schemas.openxmlformats.org/officeDocument/2006/relationships/hyperlink" Target="https://vip.1otruda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vip.1otruda.ru/" TargetMode="External"/><Relationship Id="rId15" Type="http://schemas.openxmlformats.org/officeDocument/2006/relationships/hyperlink" Target="https://vip.1otruda.ru/" TargetMode="External"/><Relationship Id="rId23" Type="http://schemas.openxmlformats.org/officeDocument/2006/relationships/hyperlink" Target="https://vip.1otruda.ru/" TargetMode="External"/><Relationship Id="rId28" Type="http://schemas.openxmlformats.org/officeDocument/2006/relationships/hyperlink" Target="https://vip.1otruda.ru/" TargetMode="External"/><Relationship Id="rId10" Type="http://schemas.openxmlformats.org/officeDocument/2006/relationships/hyperlink" Target="https://vip.1otruda.ru/" TargetMode="External"/><Relationship Id="rId19" Type="http://schemas.openxmlformats.org/officeDocument/2006/relationships/hyperlink" Target="https://vip.1otruda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vip.1otruda.ru/" TargetMode="External"/><Relationship Id="rId9" Type="http://schemas.openxmlformats.org/officeDocument/2006/relationships/hyperlink" Target="https://vip.1otruda.ru/" TargetMode="External"/><Relationship Id="rId14" Type="http://schemas.openxmlformats.org/officeDocument/2006/relationships/hyperlink" Target="https://vip.1otruda.ru/" TargetMode="External"/><Relationship Id="rId22" Type="http://schemas.openxmlformats.org/officeDocument/2006/relationships/hyperlink" Target="https://vip.1otruda.ru/" TargetMode="External"/><Relationship Id="rId27" Type="http://schemas.openxmlformats.org/officeDocument/2006/relationships/hyperlink" Target="https://vip.1otruda.ru/" TargetMode="External"/><Relationship Id="rId30" Type="http://schemas.openxmlformats.org/officeDocument/2006/relationships/hyperlink" Target="file:///Z:\Darky\%D0%AF%D1%80%D0%B8%D0%BD%D0%BE%D0%B2%D1%81%D0%BA%D0%B8%D0%B9\%C2%A9%20%D0%9C%D0%B0%D1%82%D0%B5%D1%80%D0%B8%D0%B0%D0%BB%20%D0%B8%D0%B7%20%D0%A1%D0%BF%D1%80%D0%B0%D0%B2%D0%BE%D1%87%D0%BD%D0%BE%D0%B9%20%D1%81%D0%B8%D1%81%D1%82%D0%B5%D0%BC%D1%8B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1797</Words>
  <Characters>10248</Characters>
  <Application>Microsoft Office Word</Application>
  <DocSecurity>0</DocSecurity>
  <Lines>85</Lines>
  <Paragraphs>24</Paragraphs>
  <ScaleCrop>false</ScaleCrop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Богомолов</dc:creator>
  <cp:keywords/>
  <dc:description/>
  <cp:lastModifiedBy>Артем Богомолов</cp:lastModifiedBy>
  <cp:revision>3</cp:revision>
  <dcterms:created xsi:type="dcterms:W3CDTF">2025-12-15T02:36:00Z</dcterms:created>
  <dcterms:modified xsi:type="dcterms:W3CDTF">2025-12-15T02:36:00Z</dcterms:modified>
</cp:coreProperties>
</file>